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CF3664">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CF3664">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CF3664">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CF3664">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CF3664">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CF3664">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CF3664">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CF3664">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CF3664">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CF3664">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9E6D661" w14:textId="7FBB2685" w:rsidR="00193C31" w:rsidRPr="00D33CC9" w:rsidRDefault="00605A07" w:rsidP="006805ED">
      <w:pPr>
        <w:pStyle w:val="NormalWeb"/>
        <w:spacing w:before="0" w:beforeAutospacing="0" w:after="0" w:afterAutospacing="0"/>
        <w:jc w:val="both"/>
        <w:rPr>
          <w:color w:val="FF0000"/>
          <w:sz w:val="20"/>
          <w:szCs w:val="28"/>
        </w:rPr>
      </w:pPr>
      <w:r w:rsidRPr="00571DBF">
        <w:rPr>
          <w:color w:val="000000" w:themeColor="text1"/>
          <w:sz w:val="20"/>
          <w:szCs w:val="20"/>
        </w:rPr>
        <w:t>Plan International looking for hiring a specialized services provider that operating in the field of express mail and logistics services and solutions,</w:t>
      </w:r>
      <w:r w:rsidR="00571DBF" w:rsidRPr="00571DBF">
        <w:rPr>
          <w:color w:val="000000" w:themeColor="text1"/>
          <w:sz w:val="20"/>
          <w:szCs w:val="20"/>
        </w:rPr>
        <w:t xml:space="preserve"> </w:t>
      </w:r>
      <w:r w:rsidRPr="00571DBF">
        <w:rPr>
          <w:color w:val="000000" w:themeColor="text1"/>
          <w:sz w:val="20"/>
          <w:szCs w:val="20"/>
        </w:rPr>
        <w:t>based on the "from door to door service", utilizing the latest means of transportation and communication</w:t>
      </w:r>
      <w:r w:rsidR="00142804">
        <w:rPr>
          <w:color w:val="000000" w:themeColor="text1"/>
          <w:sz w:val="20"/>
          <w:szCs w:val="20"/>
        </w:rPr>
        <w:t xml:space="preserve">. </w:t>
      </w:r>
    </w:p>
    <w:p w14:paraId="68070CB2" w14:textId="77777777" w:rsidR="00961825" w:rsidRPr="00961825" w:rsidRDefault="00961825" w:rsidP="00AC21E9">
      <w:pPr>
        <w:jc w:val="both"/>
        <w:rPr>
          <w:bCs/>
          <w:i/>
          <w:iCs/>
          <w:color w:val="FF0000"/>
          <w:sz w:val="20"/>
          <w:szCs w:val="28"/>
        </w:rPr>
      </w:pP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1DAB55F3"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r w:rsidR="00BB77FE">
        <w:rPr>
          <w:i/>
          <w:iCs/>
          <w:color w:val="FF0000"/>
          <w:sz w:val="22"/>
          <w:szCs w:val="22"/>
        </w:rPr>
        <w:t xml:space="preserve">courier </w:t>
      </w:r>
      <w:r w:rsidRPr="007D5F65">
        <w:rPr>
          <w:i/>
          <w:iCs/>
          <w:color w:val="FF0000"/>
          <w:sz w:val="22"/>
          <w:szCs w:val="22"/>
        </w:rPr>
        <w:t>services</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BB77FE">
        <w:rPr>
          <w:b/>
          <w:bCs/>
          <w:color w:val="FF0000"/>
          <w:sz w:val="22"/>
          <w:szCs w:val="22"/>
        </w:rPr>
        <w:t>transport</w:t>
      </w:r>
      <w:r w:rsidRPr="00263D09">
        <w:rPr>
          <w:b/>
          <w:bCs/>
          <w:color w:val="FF0000"/>
          <w:sz w:val="22"/>
          <w:szCs w:val="22"/>
        </w:rPr>
        <w:t xml:space="preserve"> services.</w:t>
      </w:r>
      <w:r>
        <w:rPr>
          <w:b/>
          <w:bCs/>
          <w:i/>
          <w:iCs/>
          <w:color w:val="FF0000"/>
          <w:sz w:val="22"/>
          <w:szCs w:val="22"/>
        </w:rPr>
        <w:t xml:space="preserve"> </w:t>
      </w:r>
      <w:r>
        <w:rPr>
          <w:sz w:val="22"/>
          <w:szCs w:val="22"/>
        </w:rPr>
        <w:t xml:space="preserve">Successful Bidder(s) will be expected to enter into a </w:t>
      </w:r>
      <w:r w:rsidR="00082B2F" w:rsidRPr="00546828">
        <w:rPr>
          <w:b/>
          <w:bCs/>
          <w:color w:val="FF0000"/>
          <w:sz w:val="22"/>
          <w:szCs w:val="22"/>
        </w:rPr>
        <w:t>Long-Term</w:t>
      </w:r>
      <w:r w:rsidRPr="00546828">
        <w:rPr>
          <w:b/>
          <w:bCs/>
          <w:color w:val="FF0000"/>
          <w:sz w:val="22"/>
          <w:szCs w:val="22"/>
        </w:rPr>
        <w:t xml:space="preserve"> Agreement</w:t>
      </w:r>
      <w:r w:rsidRPr="00546828">
        <w:rPr>
          <w:i/>
          <w:iCs/>
          <w:color w:val="FF0000"/>
          <w:sz w:val="22"/>
          <w:szCs w:val="22"/>
        </w:rPr>
        <w:t xml:space="preserve"> </w:t>
      </w:r>
      <w:r>
        <w:rPr>
          <w:sz w:val="22"/>
          <w:szCs w:val="22"/>
        </w:rPr>
        <w:t xml:space="preserve">on </w:t>
      </w:r>
      <w:r w:rsidR="00BB77FE" w:rsidRPr="00BB77FE">
        <w:rPr>
          <w:sz w:val="22"/>
          <w:szCs w:val="22"/>
        </w:rPr>
        <w:t>an exclusive basis</w:t>
      </w:r>
      <w:r w:rsidR="00BB77FE">
        <w:rPr>
          <w:sz w:val="22"/>
          <w:szCs w:val="22"/>
        </w:rPr>
        <w:t xml:space="preserve"> with</w:t>
      </w:r>
      <w:r>
        <w:rPr>
          <w:sz w:val="22"/>
          <w:szCs w:val="22"/>
        </w:rPr>
        <w:t xml:space="preserve"> our organization. </w:t>
      </w:r>
      <w:r w:rsidRPr="00746D1C">
        <w:rPr>
          <w:sz w:val="22"/>
          <w:szCs w:val="22"/>
        </w:rPr>
        <w:t xml:space="preserve">Plan International reserves the right not to award a contract </w:t>
      </w:r>
      <w:proofErr w:type="gramStart"/>
      <w:r w:rsidRPr="00746D1C">
        <w:rPr>
          <w:sz w:val="22"/>
          <w:szCs w:val="22"/>
        </w:rPr>
        <w:t>as a result of</w:t>
      </w:r>
      <w:proofErr w:type="gramEnd"/>
      <w:r w:rsidRPr="00746D1C">
        <w:rPr>
          <w:sz w:val="22"/>
          <w:szCs w:val="22"/>
        </w:rPr>
        <w:t xml:space="preserve">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466CE502"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lastRenderedPageBreak/>
        <w:t>Documents comprising this tender pack are as follows:</w:t>
      </w:r>
    </w:p>
    <w:p w14:paraId="46482B0F" w14:textId="67C822B4"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3FE1F409"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2E75E2">
        <w:fldChar w:fldCharType="begin"/>
      </w:r>
      <w:r w:rsidR="002E75E2">
        <w:instrText xml:space="preserve"> HYPERLINK "mailto:</w:instrText>
      </w:r>
      <w:r w:rsidR="002E75E2" w:rsidRPr="002E75E2">
        <w:instrText>Sudan.procurement@plan-international.org</w:instrText>
      </w:r>
      <w:r w:rsidR="002E75E2">
        <w:instrText xml:space="preserve">" </w:instrText>
      </w:r>
      <w:r w:rsidR="002E75E2">
        <w:fldChar w:fldCharType="separate"/>
      </w:r>
      <w:r w:rsidR="002E75E2" w:rsidRPr="00A46A5A">
        <w:rPr>
          <w:rStyle w:val="Hyperlink"/>
        </w:rPr>
        <w:t>Sudan.procurement@plan-international.org</w:t>
      </w:r>
      <w:r w:rsidR="002E75E2">
        <w:fldChar w:fldCharType="end"/>
      </w:r>
      <w:bookmarkEnd w:id="5"/>
      <w:r w:rsidR="006015E9">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68465E1E"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6" w:history="1">
        <w:r w:rsidR="009C1D16" w:rsidRPr="00A46A5A">
          <w:rPr>
            <w:rStyle w:val="Hyperlink"/>
          </w:rPr>
          <w:t>Sudan.procurement@plan-international.org</w:t>
        </w:r>
      </w:hyperlink>
      <w:r w:rsidR="009C1D16">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[PIS/ITT/FY23/000</w:t>
      </w:r>
      <w:r w:rsidR="00A80C9F">
        <w:rPr>
          <w:sz w:val="22"/>
          <w:szCs w:val="22"/>
        </w:rPr>
        <w:t>2</w:t>
      </w:r>
      <w:r w:rsidR="00A80C9F" w:rsidRPr="00A80C9F">
        <w:rPr>
          <w:sz w:val="22"/>
          <w:szCs w:val="22"/>
        </w:rPr>
        <w:t xml:space="preserve">] </w:t>
      </w:r>
      <w:r w:rsidR="00100EEB">
        <w:rPr>
          <w:i/>
          <w:iCs/>
          <w:color w:val="FF0000"/>
          <w:sz w:val="22"/>
          <w:szCs w:val="22"/>
        </w:rPr>
        <w:t xml:space="preserve"> </w:t>
      </w:r>
    </w:p>
    <w:p w14:paraId="21EA01B9" w14:textId="40FA13DB" w:rsidR="000D4807" w:rsidRDefault="00CF3664" w:rsidP="00A80C9F">
      <w:pPr>
        <w:pStyle w:val="NormalWeb"/>
        <w:jc w:val="both"/>
        <w:rPr>
          <w:rStyle w:val="Header1"/>
          <w:color w:val="0072CE"/>
          <w:u w:val="single"/>
        </w:rPr>
      </w:pPr>
      <w:r>
        <w:rPr>
          <w:rStyle w:val="Header1"/>
          <w:color w:val="0072CE"/>
          <w:u w:val="single"/>
        </w:rPr>
        <w:t xml:space="preserve">3.2.1 </w:t>
      </w:r>
      <w:bookmarkStart w:id="6" w:name="_GoBack"/>
      <w:bookmarkEnd w:id="6"/>
      <w:r w:rsidR="0088096D">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1ADE3834" w:rsidR="004366A7" w:rsidRPr="00676F1C" w:rsidRDefault="00257742" w:rsidP="0072033F">
            <w:pPr>
              <w:pStyle w:val="Table"/>
              <w:rPr>
                <w:b/>
                <w:sz w:val="22"/>
                <w:szCs w:val="22"/>
              </w:rPr>
            </w:pPr>
            <w:r>
              <w:rPr>
                <w:b/>
                <w:color w:val="FF0000"/>
                <w:sz w:val="22"/>
                <w:szCs w:val="22"/>
              </w:rPr>
              <w:t xml:space="preserve">September </w:t>
            </w:r>
            <w:r w:rsidR="00132559">
              <w:rPr>
                <w:b/>
                <w:color w:val="FF0000"/>
                <w:sz w:val="22"/>
                <w:szCs w:val="22"/>
              </w:rPr>
              <w:t>12</w:t>
            </w:r>
            <w:r>
              <w:rPr>
                <w:b/>
                <w:color w:val="FF0000"/>
                <w:sz w:val="22"/>
                <w:szCs w:val="22"/>
              </w:rPr>
              <w:t>, 2022</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3020FA96" w:rsidR="004366A7" w:rsidRPr="001A2CED" w:rsidRDefault="00257742" w:rsidP="0072033F">
            <w:pPr>
              <w:pStyle w:val="Table"/>
              <w:ind w:left="0"/>
              <w:rPr>
                <w:sz w:val="22"/>
                <w:szCs w:val="22"/>
              </w:rPr>
            </w:pPr>
            <w:r>
              <w:rPr>
                <w:b/>
                <w:color w:val="FF0000"/>
                <w:sz w:val="22"/>
                <w:szCs w:val="22"/>
              </w:rPr>
              <w:t xml:space="preserve">September </w:t>
            </w:r>
            <w:r w:rsidR="006C1758">
              <w:rPr>
                <w:b/>
                <w:color w:val="FF0000"/>
                <w:sz w:val="22"/>
                <w:szCs w:val="22"/>
              </w:rPr>
              <w:t>18</w:t>
            </w:r>
            <w:r>
              <w:rPr>
                <w:b/>
                <w:color w:val="FF0000"/>
                <w:sz w:val="22"/>
                <w:szCs w:val="22"/>
              </w:rPr>
              <w:t>, 2022</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74CE8788" w:rsidR="004366A7" w:rsidRPr="001A2CED" w:rsidRDefault="006C1758" w:rsidP="0072033F">
            <w:pPr>
              <w:pStyle w:val="Table"/>
              <w:ind w:left="0"/>
              <w:rPr>
                <w:sz w:val="22"/>
                <w:szCs w:val="22"/>
              </w:rPr>
            </w:pPr>
            <w:r>
              <w:rPr>
                <w:b/>
                <w:color w:val="FF0000"/>
                <w:sz w:val="22"/>
                <w:szCs w:val="22"/>
              </w:rPr>
              <w:t>September 19, 2022</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755D87E8" w:rsidR="004366A7" w:rsidRPr="001A2CED" w:rsidRDefault="006C1758" w:rsidP="0072033F">
            <w:pPr>
              <w:pStyle w:val="Table"/>
              <w:rPr>
                <w:b/>
                <w:sz w:val="22"/>
                <w:szCs w:val="22"/>
              </w:rPr>
            </w:pPr>
            <w:r>
              <w:rPr>
                <w:b/>
                <w:color w:val="FF0000"/>
                <w:sz w:val="22"/>
                <w:szCs w:val="22"/>
              </w:rPr>
              <w:t>September 2</w:t>
            </w:r>
            <w:r w:rsidR="00113278">
              <w:rPr>
                <w:b/>
                <w:color w:val="FF0000"/>
                <w:sz w:val="22"/>
                <w:szCs w:val="22"/>
              </w:rPr>
              <w:t>5</w:t>
            </w:r>
            <w:r>
              <w:rPr>
                <w:b/>
                <w:color w:val="FF0000"/>
                <w:sz w:val="22"/>
                <w:szCs w:val="22"/>
              </w:rPr>
              <w:t>, 2022</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51308128"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4D36316" w:rsidR="00142804" w:rsidRPr="00571DBF"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142804" w:rsidRPr="00571DBF">
        <w:rPr>
          <w:color w:val="000000" w:themeColor="text1"/>
          <w:sz w:val="20"/>
          <w:szCs w:val="20"/>
        </w:rPr>
        <w:t>below:</w:t>
      </w:r>
    </w:p>
    <w:p w14:paraId="20505657" w14:textId="0F4C7127" w:rsidR="00142804" w:rsidRPr="00D33CC9" w:rsidRDefault="00142804" w:rsidP="00142804">
      <w:pPr>
        <w:pStyle w:val="BodyText0"/>
        <w:numPr>
          <w:ilvl w:val="1"/>
          <w:numId w:val="33"/>
        </w:numPr>
        <w:rPr>
          <w:color w:val="000000" w:themeColor="text1"/>
          <w:sz w:val="20"/>
          <w:szCs w:val="28"/>
        </w:rPr>
      </w:pPr>
      <w:r w:rsidRPr="00D33CC9">
        <w:rPr>
          <w:color w:val="000000" w:themeColor="text1"/>
          <w:sz w:val="20"/>
          <w:szCs w:val="28"/>
        </w:rPr>
        <w:t>Courier services focuses on express and door-to-door delivery</w:t>
      </w:r>
      <w:r w:rsidR="00EF2C1D">
        <w:rPr>
          <w:color w:val="000000" w:themeColor="text1"/>
          <w:sz w:val="20"/>
          <w:szCs w:val="28"/>
        </w:rPr>
        <w:t>.</w:t>
      </w:r>
    </w:p>
    <w:p w14:paraId="450D195A" w14:textId="2DC2C7CE" w:rsidR="00142804" w:rsidRDefault="00142804" w:rsidP="00142804">
      <w:pPr>
        <w:pStyle w:val="BodyText0"/>
        <w:numPr>
          <w:ilvl w:val="1"/>
          <w:numId w:val="33"/>
        </w:numPr>
        <w:rPr>
          <w:color w:val="000000" w:themeColor="text1"/>
          <w:sz w:val="20"/>
          <w:szCs w:val="28"/>
        </w:rPr>
      </w:pPr>
      <w:r>
        <w:rPr>
          <w:color w:val="000000" w:themeColor="text1"/>
          <w:sz w:val="20"/>
          <w:szCs w:val="28"/>
        </w:rPr>
        <w:lastRenderedPageBreak/>
        <w:t xml:space="preserve">A </w:t>
      </w:r>
      <w:r w:rsidRPr="003C2CA6">
        <w:rPr>
          <w:color w:val="000000" w:themeColor="text1"/>
          <w:sz w:val="20"/>
          <w:szCs w:val="28"/>
        </w:rPr>
        <w:t xml:space="preserve">premium a courier service which inclusive  all service such as collects </w:t>
      </w:r>
      <w:r>
        <w:rPr>
          <w:color w:val="000000" w:themeColor="text1"/>
          <w:sz w:val="20"/>
          <w:szCs w:val="28"/>
        </w:rPr>
        <w:t xml:space="preserve">, packing </w:t>
      </w:r>
      <w:r w:rsidRPr="003C2CA6">
        <w:rPr>
          <w:color w:val="000000" w:themeColor="text1"/>
          <w:sz w:val="20"/>
          <w:szCs w:val="28"/>
        </w:rPr>
        <w:t>and delivers shipments in the shortest possible time frame</w:t>
      </w:r>
      <w:r w:rsidR="006C5A3A">
        <w:rPr>
          <w:color w:val="000000" w:themeColor="text1"/>
          <w:sz w:val="20"/>
          <w:szCs w:val="28"/>
        </w:rPr>
        <w:t xml:space="preserve"> i</w:t>
      </w:r>
      <w:r w:rsidR="006C5A3A" w:rsidRPr="006C5A3A">
        <w:rPr>
          <w:color w:val="000000" w:themeColor="text1"/>
          <w:sz w:val="20"/>
          <w:szCs w:val="28"/>
        </w:rPr>
        <w:t>ncluding weekend operations</w:t>
      </w:r>
      <w:r w:rsidR="006C5A3A">
        <w:rPr>
          <w:color w:val="000000" w:themeColor="text1"/>
          <w:sz w:val="20"/>
          <w:szCs w:val="28"/>
        </w:rPr>
        <w:t xml:space="preserve"> </w:t>
      </w:r>
      <w:r>
        <w:rPr>
          <w:color w:val="000000" w:themeColor="text1"/>
          <w:sz w:val="20"/>
          <w:szCs w:val="28"/>
        </w:rPr>
        <w:t>.</w:t>
      </w:r>
    </w:p>
    <w:p w14:paraId="2292720E" w14:textId="77777777" w:rsidR="00142804" w:rsidRDefault="00142804" w:rsidP="00142804">
      <w:pPr>
        <w:pStyle w:val="BodyText0"/>
        <w:numPr>
          <w:ilvl w:val="1"/>
          <w:numId w:val="33"/>
        </w:numPr>
        <w:rPr>
          <w:color w:val="000000" w:themeColor="text1"/>
          <w:sz w:val="20"/>
          <w:szCs w:val="28"/>
        </w:rPr>
      </w:pPr>
      <w:r w:rsidRPr="00780133">
        <w:rPr>
          <w:color w:val="000000" w:themeColor="text1"/>
          <w:sz w:val="20"/>
          <w:szCs w:val="28"/>
        </w:rPr>
        <w:t>Types of Courier Services</w:t>
      </w:r>
      <w:r>
        <w:rPr>
          <w:color w:val="000000" w:themeColor="text1"/>
          <w:sz w:val="20"/>
          <w:szCs w:val="28"/>
        </w:rPr>
        <w:t xml:space="preserve"> are:</w:t>
      </w:r>
    </w:p>
    <w:p w14:paraId="672E4D30" w14:textId="77777777" w:rsidR="00142804" w:rsidRDefault="00142804" w:rsidP="00142804">
      <w:pPr>
        <w:pStyle w:val="BodyText0"/>
        <w:numPr>
          <w:ilvl w:val="0"/>
          <w:numId w:val="36"/>
        </w:numPr>
        <w:rPr>
          <w:color w:val="000000" w:themeColor="text1"/>
          <w:sz w:val="20"/>
          <w:szCs w:val="28"/>
        </w:rPr>
      </w:pPr>
      <w:r w:rsidRPr="00780133">
        <w:rPr>
          <w:color w:val="000000" w:themeColor="text1"/>
          <w:sz w:val="20"/>
          <w:szCs w:val="28"/>
        </w:rPr>
        <w:t>Local Courier Services</w:t>
      </w:r>
      <w:r>
        <w:rPr>
          <w:color w:val="000000" w:themeColor="text1"/>
          <w:sz w:val="20"/>
          <w:szCs w:val="28"/>
        </w:rPr>
        <w:t xml:space="preserve"> to </w:t>
      </w:r>
      <w:r w:rsidRPr="00780133">
        <w:rPr>
          <w:color w:val="000000" w:themeColor="text1"/>
          <w:sz w:val="20"/>
          <w:szCs w:val="28"/>
        </w:rPr>
        <w:t xml:space="preserve"> provide delivery services within </w:t>
      </w:r>
      <w:r>
        <w:rPr>
          <w:color w:val="000000" w:themeColor="text1"/>
          <w:sz w:val="20"/>
          <w:szCs w:val="28"/>
        </w:rPr>
        <w:t xml:space="preserve"> Plan International Sudan Program Area Offices ( Kassala State, White Nile State, North Darfur State, North Kordofan &amp; South States.</w:t>
      </w:r>
    </w:p>
    <w:p w14:paraId="76541CED" w14:textId="2B88BB5F"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Global Courier Services</w:t>
      </w:r>
      <w:r>
        <w:rPr>
          <w:color w:val="000000" w:themeColor="text1"/>
          <w:sz w:val="20"/>
          <w:szCs w:val="28"/>
        </w:rPr>
        <w:t xml:space="preserve"> with</w:t>
      </w:r>
      <w:r w:rsidR="003A63DE">
        <w:rPr>
          <w:color w:val="000000" w:themeColor="text1"/>
          <w:sz w:val="20"/>
          <w:szCs w:val="28"/>
        </w:rPr>
        <w:t>in</w:t>
      </w:r>
      <w:r>
        <w:rPr>
          <w:color w:val="000000" w:themeColor="text1"/>
          <w:sz w:val="20"/>
          <w:szCs w:val="28"/>
        </w:rPr>
        <w:t xml:space="preserve"> Plan International Offices.</w:t>
      </w:r>
    </w:p>
    <w:p w14:paraId="13E69EEB" w14:textId="77777777"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Overnight Shipping</w:t>
      </w:r>
    </w:p>
    <w:p w14:paraId="116B69BA" w14:textId="6FFB0BDE" w:rsidR="00142804" w:rsidRDefault="006371E1" w:rsidP="00142804">
      <w:pPr>
        <w:pStyle w:val="BodyText0"/>
        <w:numPr>
          <w:ilvl w:val="0"/>
          <w:numId w:val="36"/>
        </w:numPr>
        <w:rPr>
          <w:color w:val="000000" w:themeColor="text1"/>
          <w:sz w:val="20"/>
          <w:szCs w:val="28"/>
        </w:rPr>
      </w:pPr>
      <w:r>
        <w:rPr>
          <w:color w:val="000000" w:themeColor="text1"/>
          <w:sz w:val="20"/>
          <w:szCs w:val="28"/>
        </w:rPr>
        <w:t xml:space="preserve">Documents and </w:t>
      </w:r>
      <w:r w:rsidR="00142804" w:rsidRPr="000D41B6">
        <w:rPr>
          <w:color w:val="000000" w:themeColor="text1"/>
          <w:sz w:val="20"/>
          <w:szCs w:val="28"/>
        </w:rPr>
        <w:t xml:space="preserve">Parcel </w:t>
      </w:r>
      <w:r>
        <w:rPr>
          <w:color w:val="000000" w:themeColor="text1"/>
          <w:sz w:val="20"/>
          <w:szCs w:val="28"/>
        </w:rPr>
        <w:t>packages</w:t>
      </w:r>
      <w:r w:rsidR="001640F4">
        <w:rPr>
          <w:color w:val="000000" w:themeColor="text1"/>
          <w:sz w:val="20"/>
          <w:szCs w:val="28"/>
        </w:rPr>
        <w:t xml:space="preserve"> </w:t>
      </w:r>
      <w:r>
        <w:rPr>
          <w:color w:val="000000" w:themeColor="text1"/>
          <w:sz w:val="20"/>
          <w:szCs w:val="28"/>
        </w:rPr>
        <w:t>Domestic and International</w:t>
      </w:r>
      <w:r w:rsidR="00142804">
        <w:rPr>
          <w:color w:val="000000" w:themeColor="text1"/>
          <w:sz w:val="20"/>
          <w:szCs w:val="28"/>
        </w:rPr>
        <w:t>.</w:t>
      </w:r>
    </w:p>
    <w:p w14:paraId="60C3BB91" w14:textId="2B2EFF63"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On-Demand Delivery</w:t>
      </w:r>
      <w:r>
        <w:rPr>
          <w:color w:val="000000" w:themeColor="text1"/>
          <w:sz w:val="20"/>
          <w:szCs w:val="28"/>
        </w:rPr>
        <w:t>.</w:t>
      </w:r>
    </w:p>
    <w:p w14:paraId="450841F2" w14:textId="3128CBF7" w:rsidR="00666021" w:rsidRDefault="00666021" w:rsidP="00142804">
      <w:pPr>
        <w:pStyle w:val="BodyText0"/>
        <w:numPr>
          <w:ilvl w:val="0"/>
          <w:numId w:val="36"/>
        </w:numPr>
        <w:rPr>
          <w:color w:val="000000" w:themeColor="text1"/>
          <w:sz w:val="20"/>
          <w:szCs w:val="28"/>
        </w:rPr>
      </w:pPr>
      <w:r>
        <w:rPr>
          <w:color w:val="000000" w:themeColor="text1"/>
          <w:sz w:val="20"/>
          <w:szCs w:val="28"/>
        </w:rPr>
        <w:t xml:space="preserve">Road freight </w:t>
      </w:r>
    </w:p>
    <w:p w14:paraId="11D05E04" w14:textId="430EFF6F" w:rsidR="009551D7" w:rsidRPr="00D21999" w:rsidRDefault="00666021" w:rsidP="00D21999">
      <w:pPr>
        <w:pStyle w:val="BodyText0"/>
        <w:numPr>
          <w:ilvl w:val="0"/>
          <w:numId w:val="36"/>
        </w:numPr>
        <w:rPr>
          <w:color w:val="000000" w:themeColor="text1"/>
          <w:sz w:val="20"/>
          <w:szCs w:val="28"/>
        </w:rPr>
      </w:pPr>
      <w:r>
        <w:rPr>
          <w:color w:val="000000" w:themeColor="text1"/>
          <w:sz w:val="20"/>
          <w:szCs w:val="28"/>
        </w:rPr>
        <w:t xml:space="preserve">Air freight. </w:t>
      </w: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lastRenderedPageBreak/>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lastRenderedPageBreak/>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 xml:space="preserve">Plan International reserves the right not to enter into or award a contract </w:t>
      </w:r>
      <w:proofErr w:type="gramStart"/>
      <w:r w:rsidRPr="00BF6A44">
        <w:rPr>
          <w:color w:val="000000" w:themeColor="text1"/>
          <w:sz w:val="22"/>
          <w:szCs w:val="22"/>
        </w:rPr>
        <w:t>as a result of</w:t>
      </w:r>
      <w:proofErr w:type="gramEnd"/>
      <w:r w:rsidRPr="00BF6A44">
        <w:rPr>
          <w:color w:val="000000" w:themeColor="text1"/>
          <w:sz w:val="22"/>
          <w:szCs w:val="22"/>
        </w:rPr>
        <w:t xml:space="preserve">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w:t>
      </w:r>
      <w:proofErr w:type="gramStart"/>
      <w:r w:rsidR="00D32603" w:rsidRPr="00D32603">
        <w:rPr>
          <w:sz w:val="22"/>
        </w:rPr>
        <w:t>particular link</w:t>
      </w:r>
      <w:proofErr w:type="gramEnd"/>
      <w:r w:rsidR="00D32603" w:rsidRPr="00D32603">
        <w:rPr>
          <w:sz w:val="22"/>
        </w:rPr>
        <w:t xml:space="preserve">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w:t>
      </w:r>
      <w:proofErr w:type="gramStart"/>
      <w:r w:rsidR="00D32603" w:rsidRPr="00D32603">
        <w:rPr>
          <w:sz w:val="22"/>
        </w:rPr>
        <w:t xml:space="preserve">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w:t>
      </w:r>
      <w:proofErr w:type="gramEnd"/>
      <w:r w:rsidR="00D32603" w:rsidRPr="00D32603">
        <w:rPr>
          <w:color w:val="000000"/>
          <w:sz w:val="22"/>
        </w:rPr>
        <w:t xml:space="preserv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F5429C"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CB6049" w:rsidRPr="00082E31">
              <w:rPr>
                <w:rFonts w:eastAsia="Times New Roman"/>
                <w:i/>
                <w:iCs/>
                <w:color w:val="FF0000"/>
                <w:sz w:val="22"/>
                <w:szCs w:val="22"/>
                <w:lang w:val="en-GB" w:eastAsia="en-GB" w:bidi="ar-SA"/>
              </w:rPr>
              <w:t>[insert</w:t>
            </w:r>
            <w:r w:rsidR="00082E31" w:rsidRPr="00082E31">
              <w:rPr>
                <w:rFonts w:eastAsia="Times New Roman"/>
                <w:i/>
                <w:iCs/>
                <w:color w:val="FF0000"/>
                <w:sz w:val="22"/>
                <w:szCs w:val="22"/>
                <w:lang w:val="en-GB" w:eastAsia="en-GB" w:bidi="ar-SA"/>
              </w:rPr>
              <w:t xml:space="preserve"> e.g.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5BAA65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[insert e.g.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lastRenderedPageBreak/>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56729FCA"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[insert e.g. </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17"/>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Impact"/>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278"/>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2559"/>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5E2"/>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745F"/>
    <w:rsid w:val="0032020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15E9"/>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16"/>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664"/>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5F13"/>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dan.procurement@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a1581217-1297-4009-83af-da7713151191"/>
    <ds:schemaRef ds:uri="http://purl.org/dc/dcmitype/"/>
    <ds:schemaRef ds:uri="http://purl.org/dc/terms/"/>
    <ds:schemaRef ds:uri="http://schemas.openxmlformats.org/package/2006/metadata/core-properties"/>
    <ds:schemaRef ds:uri="f8607def-5d89-48d0-80fd-e6a799134c76"/>
    <ds:schemaRef ds:uri="http://www.w3.org/XML/1998/namespace"/>
  </ds:schemaRefs>
</ds:datastoreItem>
</file>

<file path=customXml/itemProps3.xml><?xml version="1.0" encoding="utf-8"?>
<ds:datastoreItem xmlns:ds="http://schemas.openxmlformats.org/officeDocument/2006/customXml" ds:itemID="{907C171C-0AE0-483E-BEB4-DC95B8F38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19276-82C4-450F-9E71-1203284D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8</Pages>
  <Words>2066</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17</cp:revision>
  <cp:lastPrinted>2018-03-20T15:23:00Z</cp:lastPrinted>
  <dcterms:created xsi:type="dcterms:W3CDTF">2022-09-05T07:27:00Z</dcterms:created>
  <dcterms:modified xsi:type="dcterms:W3CDTF">2022-09-12T06:46:00Z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